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3"/>
        <w:gridCol w:w="3192"/>
        <w:gridCol w:w="3192"/>
      </w:tblGrid>
      <w:tr>
        <w:trPr>
          <w:trHeight w:val="268" w:hRule="atLeast"/>
        </w:trPr>
        <w:tc>
          <w:tcPr>
            <w:tcW w:w="319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BA 395A</w:t>
            </w:r>
          </w:p>
        </w:tc>
        <w:tc>
          <w:tcPr>
            <w:tcW w:w="3192" w:type="dxa"/>
          </w:tcPr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Leave of Absence</w:t>
            </w:r>
          </w:p>
        </w:tc>
      </w:tr>
      <w:tr>
        <w:trPr>
          <w:trHeight w:val="1343" w:hRule="atLeast"/>
        </w:trPr>
        <w:tc>
          <w:tcPr>
            <w:tcW w:w="3193" w:type="dxa"/>
          </w:tcPr>
          <w:p>
            <w:pPr>
              <w:pStyle w:val="TableParagraph"/>
              <w:spacing w:line="26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Student Loans</w:t>
            </w:r>
          </w:p>
        </w:tc>
        <w:tc>
          <w:tcPr>
            <w:tcW w:w="3192" w:type="dxa"/>
          </w:tcPr>
          <w:p>
            <w:pPr>
              <w:pStyle w:val="TableParagraph"/>
              <w:ind w:left="107" w:right="141"/>
              <w:rPr>
                <w:sz w:val="22"/>
              </w:rPr>
            </w:pPr>
            <w:r>
              <w:rPr>
                <w:sz w:val="22"/>
              </w:rPr>
              <w:t>student loan payback deferment continues</w:t>
            </w:r>
          </w:p>
        </w:tc>
        <w:tc>
          <w:tcPr>
            <w:tcW w:w="3192" w:type="dxa"/>
          </w:tcPr>
          <w:p>
            <w:pPr>
              <w:pStyle w:val="TableParagraph"/>
              <w:ind w:right="380"/>
              <w:rPr>
                <w:sz w:val="22"/>
              </w:rPr>
            </w:pPr>
            <w:r>
              <w:rPr>
                <w:sz w:val="22"/>
              </w:rPr>
              <w:t>“grace period” will begin – student will not have as much time after graduation before loan repayment is due</w:t>
            </w:r>
          </w:p>
        </w:tc>
      </w:tr>
      <w:tr>
        <w:trPr>
          <w:trHeight w:val="1341" w:hRule="atLeast"/>
        </w:trPr>
        <w:tc>
          <w:tcPr>
            <w:tcW w:w="3193" w:type="dxa"/>
          </w:tcPr>
          <w:p>
            <w:pPr>
              <w:pStyle w:val="TableParagraph"/>
              <w:spacing w:line="26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Cost of Credit</w:t>
            </w:r>
          </w:p>
        </w:tc>
        <w:tc>
          <w:tcPr>
            <w:tcW w:w="3192" w:type="dxa"/>
          </w:tcPr>
          <w:p>
            <w:pPr>
              <w:pStyle w:val="TableParagraph"/>
              <w:ind w:left="107" w:right="136"/>
              <w:rPr>
                <w:sz w:val="22"/>
              </w:rPr>
            </w:pPr>
            <w:r>
              <w:rPr>
                <w:sz w:val="22"/>
              </w:rPr>
              <w:t>student is responsible for cost of one credit (varies by semester standing and tuition rates – see tuition calculator for exact cost)</w:t>
            </w:r>
          </w:p>
        </w:tc>
        <w:tc>
          <w:tcPr>
            <w:tcW w:w="3192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>
        <w:trPr>
          <w:trHeight w:val="2150" w:hRule="atLeast"/>
        </w:trPr>
        <w:tc>
          <w:tcPr>
            <w:tcW w:w="3193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Health Insurance</w:t>
            </w:r>
          </w:p>
        </w:tc>
        <w:tc>
          <w:tcPr>
            <w:tcW w:w="3192" w:type="dxa"/>
          </w:tcPr>
          <w:p>
            <w:pPr>
              <w:pStyle w:val="TableParagraph"/>
              <w:ind w:left="107" w:right="152"/>
              <w:rPr>
                <w:sz w:val="22"/>
              </w:rPr>
            </w:pPr>
            <w:r>
              <w:rPr>
                <w:sz w:val="22"/>
              </w:rPr>
              <w:t>students have the ability to remain on parents health insurance policy (only applicable if child needs to be full-time student to receive coverage – students should check with insurance provider)</w:t>
            </w:r>
          </w:p>
        </w:tc>
        <w:tc>
          <w:tcPr>
            <w:tcW w:w="3192" w:type="dxa"/>
          </w:tcPr>
          <w:p>
            <w:pPr>
              <w:pStyle w:val="TableParagraph"/>
              <w:ind w:right="523"/>
              <w:rPr>
                <w:sz w:val="22"/>
              </w:rPr>
            </w:pPr>
            <w:r>
              <w:rPr>
                <w:sz w:val="22"/>
              </w:rPr>
              <w:t>may not receive coverage (if child needs to be full-time student to remain covered)</w:t>
            </w:r>
          </w:p>
        </w:tc>
      </w:tr>
      <w:tr>
        <w:trPr>
          <w:trHeight w:val="1610" w:hRule="atLeast"/>
        </w:trPr>
        <w:tc>
          <w:tcPr>
            <w:tcW w:w="3193" w:type="dxa"/>
          </w:tcPr>
          <w:p>
            <w:pPr>
              <w:pStyle w:val="TableParagraph"/>
              <w:spacing w:line="26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Transcript/Grade</w:t>
            </w:r>
          </w:p>
        </w:tc>
        <w:tc>
          <w:tcPr>
            <w:tcW w:w="3192" w:type="dxa"/>
          </w:tcPr>
          <w:p>
            <w:pPr>
              <w:pStyle w:val="TableParagraph"/>
              <w:ind w:left="107" w:right="235"/>
              <w:rPr>
                <w:sz w:val="22"/>
              </w:rPr>
            </w:pPr>
            <w:r>
              <w:rPr>
                <w:sz w:val="22"/>
              </w:rPr>
              <w:t>internship/co-op will appear on your transcript, fulfilling ONE elective credit, along with a grade (based on your performance)*</w:t>
            </w:r>
          </w:p>
        </w:tc>
        <w:tc>
          <w:tcPr>
            <w:tcW w:w="3192" w:type="dxa"/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sz w:val="22"/>
              </w:rPr>
              <w:t>internship/co-op will NOT appear on transcript and you will not receive academic credit or grade</w:t>
            </w:r>
          </w:p>
        </w:tc>
      </w:tr>
      <w:tr>
        <w:trPr>
          <w:trHeight w:val="806" w:hRule="atLeast"/>
        </w:trPr>
        <w:tc>
          <w:tcPr>
            <w:tcW w:w="3193" w:type="dxa"/>
          </w:tcPr>
          <w:p>
            <w:pPr>
              <w:pStyle w:val="TableParagraph"/>
              <w:spacing w:line="26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Football Tickets</w:t>
            </w:r>
          </w:p>
        </w:tc>
        <w:tc>
          <w:tcPr>
            <w:tcW w:w="3192" w:type="dxa"/>
          </w:tcPr>
          <w:p>
            <w:pPr>
              <w:pStyle w:val="TableParagraph"/>
              <w:ind w:left="107" w:right="102"/>
              <w:rPr>
                <w:sz w:val="22"/>
              </w:rPr>
            </w:pPr>
            <w:r>
              <w:rPr>
                <w:sz w:val="22"/>
              </w:rPr>
              <w:t>you will still be eligible to receive football tickets</w:t>
            </w:r>
          </w:p>
        </w:tc>
        <w:tc>
          <w:tcPr>
            <w:tcW w:w="3192" w:type="dxa"/>
          </w:tcPr>
          <w:p>
            <w:pPr>
              <w:pStyle w:val="TableParagraph"/>
              <w:ind w:right="101"/>
              <w:rPr>
                <w:sz w:val="22"/>
              </w:rPr>
            </w:pPr>
            <w:r>
              <w:rPr>
                <w:sz w:val="22"/>
              </w:rPr>
              <w:t>you will still be eligible to receive football tickets</w:t>
            </w:r>
          </w:p>
        </w:tc>
      </w:tr>
      <w:tr>
        <w:trPr>
          <w:trHeight w:val="805" w:hRule="atLeast"/>
        </w:trPr>
        <w:tc>
          <w:tcPr>
            <w:tcW w:w="3193" w:type="dxa"/>
          </w:tcPr>
          <w:p>
            <w:pPr>
              <w:pStyle w:val="TableParagraph"/>
              <w:spacing w:line="26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Dorm Contracts</w:t>
            </w:r>
          </w:p>
        </w:tc>
        <w:tc>
          <w:tcPr>
            <w:tcW w:w="3192" w:type="dxa"/>
          </w:tcPr>
          <w:p>
            <w:pPr>
              <w:pStyle w:val="TableParagraph"/>
              <w:ind w:left="107" w:right="302"/>
              <w:rPr>
                <w:sz w:val="22"/>
              </w:rPr>
            </w:pPr>
            <w:r>
              <w:rPr>
                <w:sz w:val="22"/>
              </w:rPr>
              <w:t>you will be released from your dorm contract without penalty</w:t>
            </w:r>
          </w:p>
        </w:tc>
        <w:tc>
          <w:tcPr>
            <w:tcW w:w="3192" w:type="dxa"/>
          </w:tcPr>
          <w:p>
            <w:pPr>
              <w:pStyle w:val="TableParagraph"/>
              <w:ind w:right="301"/>
              <w:rPr>
                <w:sz w:val="22"/>
              </w:rPr>
            </w:pPr>
            <w:r>
              <w:rPr>
                <w:sz w:val="22"/>
              </w:rPr>
              <w:t>you will be released from your dorm contract without penalty</w:t>
            </w:r>
          </w:p>
        </w:tc>
      </w:tr>
      <w:tr>
        <w:trPr>
          <w:trHeight w:val="1881" w:hRule="atLeast"/>
        </w:trPr>
        <w:tc>
          <w:tcPr>
            <w:tcW w:w="3193" w:type="dxa"/>
          </w:tcPr>
          <w:p>
            <w:pPr>
              <w:pStyle w:val="TableParagraph"/>
              <w:spacing w:line="26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Scholarships</w:t>
            </w:r>
          </w:p>
        </w:tc>
        <w:tc>
          <w:tcPr>
            <w:tcW w:w="3192" w:type="dxa"/>
          </w:tcPr>
          <w:p>
            <w:pPr>
              <w:pStyle w:val="TableParagraph"/>
              <w:ind w:left="107" w:right="91"/>
              <w:rPr>
                <w:sz w:val="22"/>
              </w:rPr>
            </w:pPr>
            <w:r>
              <w:rPr>
                <w:sz w:val="22"/>
              </w:rPr>
              <w:t>you will lose your Smeal scholarship for the semester that you are away (for any non-Smeal scholarships, you will need to check with the Office of Student Aid)</w:t>
            </w:r>
          </w:p>
        </w:tc>
        <w:tc>
          <w:tcPr>
            <w:tcW w:w="3192" w:type="dxa"/>
          </w:tcPr>
          <w:p>
            <w:pPr>
              <w:pStyle w:val="TableParagraph"/>
              <w:ind w:right="90"/>
              <w:rPr>
                <w:sz w:val="22"/>
              </w:rPr>
            </w:pPr>
            <w:r>
              <w:rPr>
                <w:sz w:val="22"/>
              </w:rPr>
              <w:t>you will lose your Smeal scholarship for the semester that you are away (for any non-Smeal scholarships, you will need to check with the Office of Student Aid)</w:t>
            </w:r>
          </w:p>
        </w:tc>
      </w:tr>
    </w:tbl>
    <w:p>
      <w:pPr>
        <w:pStyle w:val="BodyText"/>
      </w:pPr>
      <w:r>
        <w:rPr/>
        <w:t>*NOTE: You may take BA 395A more than once but it will only count one time as an elective toward graduation. Your grade will count EACH time toward your cumulative GPA.</w:t>
      </w:r>
    </w:p>
    <w:p>
      <w:pPr>
        <w:pStyle w:val="BodyText"/>
        <w:spacing w:before="7"/>
        <w:ind w:left="0" w:right="0"/>
        <w:rPr>
          <w:sz w:val="21"/>
        </w:rPr>
      </w:pPr>
    </w:p>
    <w:p>
      <w:pPr>
        <w:pStyle w:val="BodyText"/>
      </w:pPr>
      <w:r>
        <w:rPr/>
        <w:t>**Regardless of whether you take a leave of absence, enroll in BA 395A, or opt not to do either, you need to report your internship or co-op at https://php.smeal.psu.edu/corp/acceptance/index.php. Without reporting, we will not be able to support you while you are away.</w:t>
      </w:r>
    </w:p>
    <w:sectPr>
      <w:type w:val="continuous"/>
      <w:pgSz w:w="12240" w:h="15840"/>
      <w:pgMar w:top="144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20" w:right="626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Kepler</dc:creator>
  <dcterms:created xsi:type="dcterms:W3CDTF">2021-01-19T16:10:29Z</dcterms:created>
  <dcterms:modified xsi:type="dcterms:W3CDTF">2021-01-19T16:10:29Z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2021-01-19T00:00:00Z</vt:filetime>
  </property>
</Properties>
</file>